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5801"/>
        <w:gridCol w:w="2565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sz w:val="56"/>
                <w:szCs w:val="56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w w:val="90"/>
                <w:sz w:val="76"/>
                <w:szCs w:val="76"/>
                <w:lang w:eastAsia="zh-CN"/>
              </w:rPr>
              <w:t>国家能源集团党史学习教育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FF0000"/>
                <w:sz w:val="84"/>
                <w:szCs w:val="8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w w:val="90"/>
                <w:sz w:val="76"/>
                <w:szCs w:val="76"/>
                <w:lang w:eastAsia="zh-CN"/>
              </w:rPr>
              <w:t>简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w w:val="90"/>
                <w:sz w:val="76"/>
                <w:szCs w:val="7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FF0000"/>
                <w:spacing w:val="0"/>
                <w:w w:val="90"/>
                <w:sz w:val="76"/>
                <w:szCs w:val="76"/>
                <w:lang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eastAsia="方正小标宋简体" w:cs="Times New Roman"/>
                <w:color w:val="FF0000"/>
                <w:spacing w:val="40"/>
                <w:sz w:val="84"/>
                <w:szCs w:val="8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10" w:right="315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lang w:val="en-US" w:eastAsia="zh-CN"/>
              </w:rPr>
              <w:t>第12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2"/>
                <w:szCs w:val="40"/>
                <w:lang w:val="en-US" w:eastAsia="zh-CN"/>
              </w:rPr>
              <w:t>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10" w:right="315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315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315" w:hanging="74"/>
              <w:jc w:val="both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spacing w:val="-3"/>
                <w:kern w:val="0"/>
                <w:sz w:val="32"/>
                <w:szCs w:val="32"/>
                <w:lang w:eastAsia="zh-CN"/>
              </w:rPr>
              <w:t>集团党组党史学习教育</w:t>
            </w:r>
            <w:r>
              <w:rPr>
                <w:rFonts w:hint="default" w:ascii="Times New Roman" w:hAnsi="Times New Roman" w:eastAsia="仿宋_GB2312" w:cs="Times New Roman"/>
                <w:bCs/>
                <w:snapToGrid w:val="0"/>
                <w:spacing w:val="-3"/>
                <w:kern w:val="0"/>
                <w:sz w:val="32"/>
                <w:szCs w:val="32"/>
              </w:rPr>
              <w:t>领导小组办公</w:t>
            </w:r>
            <w:r>
              <w:rPr>
                <w:rFonts w:hint="default" w:ascii="Times New Roman" w:hAnsi="Times New Roman" w:eastAsia="仿宋_GB2312" w:cs="Times New Roman"/>
                <w:bCs/>
                <w:spacing w:val="-3"/>
                <w:kern w:val="0"/>
                <w:sz w:val="32"/>
                <w:szCs w:val="32"/>
              </w:rPr>
              <w:t>室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-119"/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32"/>
                <w:szCs w:val="40"/>
                <w:lang w:val="en-US" w:eastAsia="zh-CN"/>
              </w:rPr>
              <w:t>2021年10月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4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32"/>
                <w:szCs w:val="40"/>
                <w:lang w:val="en-US" w:eastAsia="zh-CN"/>
              </w:rPr>
              <w:t>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315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exact"/>
          <w:jc w:val="center"/>
        </w:trPr>
        <w:tc>
          <w:tcPr>
            <w:tcW w:w="8842" w:type="dxa"/>
            <w:gridSpan w:val="4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集团化工板块积极行动深入贯彻落实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习近平总书记考察榆林化工重要讲话精神</w:t>
      </w:r>
    </w:p>
    <w:p>
      <w:pPr>
        <w:keepNext w:val="0"/>
        <w:keepLines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榆林化工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迅速开展习近平总书记考察榆林化工重要讲话精神“大学习、大讨论”活动，举办专题宣讲，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把思想和行动统一到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重要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讲话精神上来，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奋力开创榆林化工高质量发展新局面。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重点通过对产品深加工实现延链，耦合新能源实现补链，发展煤基新材料和煤基特种燃料实现强链，推动煤化工产业绿色低碳转型升级，打造煤油化一体化新材料新技术示范基地，努力在全国率先走出一条绿色低碳转型发展之路。加快推动煤基特种燃料、高端碳素材料、高性能可降解材料工业化、规模化建设，抢占市场先机，争做行业排头兵、掌握市场主动权和话语权，着力打造技术新、链条长、能耗低、效益好、有国际竞争力的世界一流能源化工示范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化工公司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以煤油化一体为布局基础，以煤基特种燃料和煤基新材料为主线，围绕产业链、打造创新链、实现价值链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，加快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推进煤油化新材料创新示范基地建设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现有工厂挖潜增效延链补链强链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化工产业多元化发展。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加快推进煤直接液化II代技术、直接液化石脑油共炼技术、煤基系列可降解材料技术开发及工程化、煤基炭素材料产业化技术等关键技术攻关，推动煤化工产业“三化”发展。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新疆化工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推进规划建设二氧化碳综合利用项目、25万吨/年PGA项目和稀有气体项目，坚持科技创新、节能降耗、绿色发展理念，努力实现高端化、多元化、低碳化发展，持续提升“两低两高”（能耗、水耗低，能效水平、能源转换效率高）水平，巩固提升全国煤制烯烃行业能效领跑者标杆企业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包头化工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持续发挥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世界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首套煤制烯烃示范项目优势，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提高煤炭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转化</w:t>
      </w:r>
      <w:r>
        <w:rPr>
          <w:rFonts w:hint="eastAsia" w:ascii="仿宋_GB2312" w:hAnsi="仿宋_GB2312" w:eastAsia="仿宋_GB2312" w:cs="仿宋_GB2312"/>
          <w:sz w:val="32"/>
          <w:szCs w:val="32"/>
        </w:rPr>
        <w:t>效能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加大新产品研发，生产差异化、高附加值的产品，实现效益最大化。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加快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包头煤制烯烃升级示范项目建设，利用煤制甲醇、甲醇制烯烃生产差异化、高附加值的聚烯烃产品强链。积极发展煤基生物可降解材料，利用CO和甲醇生产可降解材料延链。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加快推进绿电、绿氢绿氧等新能源与现代煤化工耦合发展，主动寻求新能源与煤化工耦合发展方向，实现绿色低碳发展。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煤制油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全力延伸煤直接液化产业链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大力推进煤基新型燃料和煤基新型材料研发应用，积极开发稀缺性高端市场。全面部署煤基新型燃料发展规划，拓展煤基新型燃料研发应用领域，推动煤基新型燃料实现规模化和产业化应用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。全面推动煤直接液化首条生产线升级改造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，围绕“卡脖子”技术与装备，大力开展国产化攻关，推进技术与装备优化升级。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神木化工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实施化工清洁化发展创一流专项工作，将长期实现一期锅炉停运，最大限度减少二氧化碳排放；优化一期甲醇分离器结构，提高甲醇收率，延长催化使用寿命，减少催化剂更换周期，实现绿色生产；严格控制循环水排污，加强砂滤器、过滤器操作、冷凝液回收利用，不断降低用水指标；调整循环水冷却风机转速，降低装置热负荷，保障装置的稳定运行和产品质量；推进中水回用和VOCs综合治理项目，对接国华锦界电厂蒸汽利用项目，充分发挥一体化优势。</w:t>
      </w:r>
    </w:p>
    <w:p>
      <w:pPr>
        <w:keepNext w:val="0"/>
        <w:keepLines w:val="0"/>
        <w:pageBreakBefore w:val="0"/>
        <w:widowControl w:val="0"/>
        <w:tabs>
          <w:tab w:val="left" w:pos="8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宁夏电力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组织英力特化工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紧紧围绕低碳化工新材料，积极开发高附加值产品，发展高端化学合成材料，规划建设以特种树脂、特种纤维、电子特气及氟硅化工等低碳、绿色、节能、环保产品及其配套原料为主的低碳新材料产业园，实现节能-环保-低碳一体化创新研发，探索打造以绿色能源替代高碳能源示范企业，建立绿色生态发展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宁夏煤业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发展煤制油化工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推进煤炭消费转型升级、提高煤炭综合利用效能的重要举措，加快构建技术领先、管理科学、清洁环保、效益突出、安全智能的现代煤化工体系，发展α-烯烃、油蜡、烯烃高端材料、催化剂等四条产业链，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推动产业链向价值链中高端迈进，实现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en-US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晋档升级。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推进大型煤气化技术、催化转化技术、煤制油化工产品升级、高端合成树脂产品开发等关键性技术研究，开展煤炭间接液化及丙烯聚合等关键工艺升级改造、煤制油化工产业降耗技术等清洁低碳技术研发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力争在润滑油基础油等特种油品、乙烯-辛烯共聚高端聚烯烃弹性体等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新材料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方面取得突破。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焦化公司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推进落实西来峰焦化一期、蒙西焦化一期、蒙西焦化二期3套焦炉的产业升级改造，推进解决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巴彦淖尔一期二线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120万吨/年焦炭联产12万吨/年甲醇项目的能耗受限问题，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统筹发展与安全，争做落实双碳目标任务的典范。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发生产煤系针状焦、超高功率石墨电极、碳纤维、等高端新材料产品；发挥自产52万吨/年甲醇规模优势，整合集中周边甲醇资源进行产业延伸，开发生产可降解塑料产品。做到基础产品有优势、延伸产品有特色、高端产品有创新，加快推进煤化工产业延链、补链、强链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tbl>
      <w:tblPr>
        <w:tblStyle w:val="12"/>
        <w:tblpPr w:leftFromText="180" w:rightFromText="180" w:horzAnchor="margin" w:tblpXSpec="center" w:tblpYSpec="bottom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05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88" w:type="dxa"/>
            <w:tcBorders>
              <w:tl2br w:val="nil"/>
              <w:tr2bl w:val="nil"/>
            </w:tcBorders>
            <w:noWrap w:val="0"/>
            <w:tcMar>
              <w:left w:w="255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报：</w:t>
            </w:r>
          </w:p>
        </w:tc>
        <w:tc>
          <w:tcPr>
            <w:tcW w:w="8057" w:type="dxa"/>
            <w:tcBorders>
              <w:tl2br w:val="nil"/>
              <w:tr2bl w:val="nil"/>
            </w:tcBorders>
            <w:noWrap w:val="0"/>
            <w:tcMar>
              <w:left w:w="0" w:type="dxa"/>
              <w:right w:w="25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中央党史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学习教育领导小组办公室，中央企业党史学习教育第三指导组，国务院国资委党委党史学习教育领导小组办公室，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党组党史学习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教育领导小组成员。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l2br w:val="nil"/>
              <w:tr2bl w:val="nil"/>
            </w:tcBorders>
            <w:noWrap w:val="0"/>
            <w:tcMar>
              <w:left w:w="255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送：</w:t>
            </w:r>
          </w:p>
        </w:tc>
        <w:tc>
          <w:tcPr>
            <w:tcW w:w="8057" w:type="dxa"/>
            <w:tcBorders>
              <w:tl2br w:val="nil"/>
              <w:tr2bl w:val="nil"/>
            </w:tcBorders>
            <w:noWrap w:val="0"/>
            <w:tcMar>
              <w:left w:w="0" w:type="dxa"/>
              <w:right w:w="25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560" w:hanging="560" w:hanging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集团公司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纪检监察组，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总部各部门，各子分公司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党组党史学习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教育领导小组办公室各工作组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巡回指导组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8662E"/>
    <w:multiLevelType w:val="singleLevel"/>
    <w:tmpl w:val="FFA8662E"/>
    <w:lvl w:ilvl="0" w:tentative="0">
      <w:start w:val="1"/>
      <w:numFmt w:val="decimal"/>
      <w:pStyle w:val="7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4768"/>
    <w:rsid w:val="009244E3"/>
    <w:rsid w:val="0454389C"/>
    <w:rsid w:val="05064768"/>
    <w:rsid w:val="0B67407A"/>
    <w:rsid w:val="0D687568"/>
    <w:rsid w:val="0E9D64E9"/>
    <w:rsid w:val="14BA4F92"/>
    <w:rsid w:val="157704C8"/>
    <w:rsid w:val="1CEA1FC9"/>
    <w:rsid w:val="1D1D2350"/>
    <w:rsid w:val="1D7E7FBD"/>
    <w:rsid w:val="1FC91272"/>
    <w:rsid w:val="1FCF61D9"/>
    <w:rsid w:val="22C44D47"/>
    <w:rsid w:val="23804003"/>
    <w:rsid w:val="246E7429"/>
    <w:rsid w:val="3199755F"/>
    <w:rsid w:val="35DA5BBD"/>
    <w:rsid w:val="3C073EF5"/>
    <w:rsid w:val="3C0A3950"/>
    <w:rsid w:val="3D7B35E9"/>
    <w:rsid w:val="475C0949"/>
    <w:rsid w:val="47E11CF5"/>
    <w:rsid w:val="48C46DC9"/>
    <w:rsid w:val="495C36BB"/>
    <w:rsid w:val="49602C02"/>
    <w:rsid w:val="4AA757F9"/>
    <w:rsid w:val="54FD1810"/>
    <w:rsid w:val="56322FD2"/>
    <w:rsid w:val="580E5564"/>
    <w:rsid w:val="58C3391F"/>
    <w:rsid w:val="58FC64E6"/>
    <w:rsid w:val="59333969"/>
    <w:rsid w:val="5B2266C8"/>
    <w:rsid w:val="5C024049"/>
    <w:rsid w:val="5F8753CE"/>
    <w:rsid w:val="603641BB"/>
    <w:rsid w:val="61064030"/>
    <w:rsid w:val="62883D72"/>
    <w:rsid w:val="666271E9"/>
    <w:rsid w:val="666A0095"/>
    <w:rsid w:val="66C364C2"/>
    <w:rsid w:val="695956BD"/>
    <w:rsid w:val="6BC93A30"/>
    <w:rsid w:val="6C300753"/>
    <w:rsid w:val="6C6B3BD0"/>
    <w:rsid w:val="6F606455"/>
    <w:rsid w:val="70C310BA"/>
    <w:rsid w:val="79467459"/>
    <w:rsid w:val="79477D2C"/>
    <w:rsid w:val="7EA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4">
    <w:name w:val="Body Text Indent"/>
    <w:basedOn w:val="1"/>
    <w:next w:val="5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envelope return"/>
    <w:basedOn w:val="1"/>
    <w:unhideWhenUsed/>
    <w:qFormat/>
    <w:uiPriority w:val="99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6">
    <w:name w:val="Plain Text"/>
    <w:basedOn w:val="1"/>
    <w:next w:val="7"/>
    <w:unhideWhenUsed/>
    <w:qFormat/>
    <w:uiPriority w:val="99"/>
    <w:rPr>
      <w:rFonts w:ascii="宋体" w:hAnsi="Courier New"/>
    </w:rPr>
  </w:style>
  <w:style w:type="paragraph" w:styleId="7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4"/>
    <w:next w:val="6"/>
    <w:unhideWhenUsed/>
    <w:qFormat/>
    <w:uiPriority w:val="99"/>
    <w:pPr>
      <w:spacing w:after="0" w:line="240" w:lineRule="auto"/>
      <w:ind w:left="0" w:leftChars="0" w:firstLine="880" w:firstLineChars="200"/>
    </w:pPr>
    <w:rPr>
      <w:rFonts w:ascii="Times New Roman" w:hAnsi="Times New Roman"/>
    </w:rPr>
  </w:style>
  <w:style w:type="paragraph" w:customStyle="1" w:styleId="14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</w:pPr>
    <w:rPr>
      <w:rFonts w:ascii="宋体" w:hAnsi="宋体" w:cs="宋体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2021-10-11T00:43:00Z</dcterms:created>
  <dc:creator>王有勇02</dc:creator>
  <cp:lastModifiedBy>黄孝起</cp:lastModifiedBy>
  <cp:lastPrinted>2021-10-14T03:08:00Z</cp:lastPrinted>
  <dcterms:modified xsi:type="dcterms:W3CDTF">2021-10-15T08:38:15Z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