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C9" w:rsidRDefault="00164DC9" w:rsidP="00164DC9">
      <w:pPr>
        <w:spacing w:after="0" w:line="360" w:lineRule="auto"/>
        <w:rPr>
          <w:rFonts w:ascii="仿宋" w:eastAsia="仿宋" w:hAnsi="仿宋" w:cs="宋体"/>
          <w:sz w:val="32"/>
          <w:szCs w:val="32"/>
        </w:rPr>
      </w:pPr>
      <w:r>
        <w:rPr>
          <w:rFonts w:ascii="仿宋" w:eastAsia="仿宋" w:hAnsi="仿宋" w:cs="宋体" w:hint="eastAsia"/>
          <w:sz w:val="32"/>
          <w:szCs w:val="32"/>
        </w:rPr>
        <w:t>附件：</w:t>
      </w:r>
    </w:p>
    <w:p w:rsidR="00164DC9" w:rsidRDefault="00164DC9" w:rsidP="00164DC9">
      <w:pPr>
        <w:spacing w:line="360" w:lineRule="auto"/>
        <w:ind w:firstLineChars="200" w:firstLine="643"/>
        <w:jc w:val="center"/>
        <w:rPr>
          <w:rFonts w:ascii="仿宋" w:eastAsia="仿宋" w:hAnsi="仿宋" w:hint="eastAsia"/>
          <w:b/>
          <w:bCs/>
          <w:sz w:val="32"/>
          <w:szCs w:val="32"/>
        </w:rPr>
      </w:pPr>
      <w:r>
        <w:rPr>
          <w:rFonts w:ascii="仿宋" w:eastAsia="仿宋" w:hAnsi="仿宋" w:hint="eastAsia"/>
          <w:b/>
          <w:bCs/>
          <w:sz w:val="32"/>
          <w:szCs w:val="32"/>
        </w:rPr>
        <w:t>扎尼河露天矿新建工程竣工环境保护验收自主验收部分验收情况表</w:t>
      </w:r>
    </w:p>
    <w:tbl>
      <w:tblPr>
        <w:tblStyle w:val="a3"/>
        <w:tblW w:w="14830" w:type="dxa"/>
        <w:tblInd w:w="0" w:type="dxa"/>
        <w:tblLayout w:type="fixed"/>
        <w:tblLook w:val="04A0"/>
      </w:tblPr>
      <w:tblGrid>
        <w:gridCol w:w="430"/>
        <w:gridCol w:w="604"/>
        <w:gridCol w:w="628"/>
        <w:gridCol w:w="509"/>
        <w:gridCol w:w="747"/>
        <w:gridCol w:w="2580"/>
        <w:gridCol w:w="2643"/>
        <w:gridCol w:w="4639"/>
        <w:gridCol w:w="679"/>
        <w:gridCol w:w="1371"/>
      </w:tblGrid>
      <w:tr w:rsidR="00164DC9" w:rsidTr="00164DC9">
        <w:trPr>
          <w:trHeight w:val="1705"/>
        </w:trPr>
        <w:tc>
          <w:tcPr>
            <w:tcW w:w="430" w:type="dxa"/>
            <w:tcBorders>
              <w:top w:val="single" w:sz="4" w:space="0" w:color="auto"/>
              <w:left w:val="single" w:sz="4" w:space="0" w:color="auto"/>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序号</w:t>
            </w:r>
          </w:p>
        </w:tc>
        <w:tc>
          <w:tcPr>
            <w:tcW w:w="604" w:type="dxa"/>
            <w:tcBorders>
              <w:top w:val="single" w:sz="4" w:space="0" w:color="auto"/>
              <w:left w:val="nil"/>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项目</w:t>
            </w:r>
          </w:p>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名称</w:t>
            </w:r>
          </w:p>
        </w:tc>
        <w:tc>
          <w:tcPr>
            <w:tcW w:w="628" w:type="dxa"/>
            <w:tcBorders>
              <w:top w:val="single" w:sz="4" w:space="0" w:color="auto"/>
              <w:left w:val="nil"/>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建设地点</w:t>
            </w:r>
          </w:p>
        </w:tc>
        <w:tc>
          <w:tcPr>
            <w:tcW w:w="509" w:type="dxa"/>
            <w:tcBorders>
              <w:top w:val="single" w:sz="4" w:space="0" w:color="auto"/>
              <w:left w:val="nil"/>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建设</w:t>
            </w:r>
          </w:p>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单位</w:t>
            </w:r>
          </w:p>
        </w:tc>
        <w:tc>
          <w:tcPr>
            <w:tcW w:w="747" w:type="dxa"/>
            <w:tcBorders>
              <w:top w:val="single" w:sz="4" w:space="0" w:color="auto"/>
              <w:left w:val="nil"/>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竣工环保验收调查机构</w:t>
            </w:r>
          </w:p>
        </w:tc>
        <w:tc>
          <w:tcPr>
            <w:tcW w:w="2580" w:type="dxa"/>
            <w:tcBorders>
              <w:top w:val="single" w:sz="4" w:space="0" w:color="auto"/>
              <w:left w:val="nil"/>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项目概况</w:t>
            </w:r>
          </w:p>
        </w:tc>
        <w:tc>
          <w:tcPr>
            <w:tcW w:w="2643" w:type="dxa"/>
            <w:tcBorders>
              <w:top w:val="single" w:sz="4" w:space="0" w:color="auto"/>
              <w:left w:val="nil"/>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21"/>
                <w:szCs w:val="21"/>
              </w:rPr>
            </w:pPr>
            <w:r>
              <w:rPr>
                <w:rFonts w:ascii="宋体" w:eastAsia="宋体" w:hAnsi="宋体" w:hint="eastAsia"/>
                <w:b/>
                <w:bCs/>
                <w:sz w:val="21"/>
                <w:szCs w:val="21"/>
              </w:rPr>
              <w:t>环境保护和环境风险</w:t>
            </w:r>
          </w:p>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防范措施落实情况</w:t>
            </w:r>
          </w:p>
        </w:tc>
        <w:tc>
          <w:tcPr>
            <w:tcW w:w="4639" w:type="dxa"/>
            <w:tcBorders>
              <w:top w:val="single" w:sz="4" w:space="0" w:color="auto"/>
              <w:left w:val="nil"/>
              <w:bottom w:val="single" w:sz="4" w:space="0" w:color="auto"/>
              <w:right w:val="single" w:sz="4" w:space="0" w:color="auto"/>
            </w:tcBorders>
            <w:vAlign w:val="center"/>
          </w:tcPr>
          <w:p w:rsidR="00164DC9" w:rsidRDefault="00164DC9">
            <w:pPr>
              <w:spacing w:after="0" w:line="280" w:lineRule="atLeast"/>
              <w:jc w:val="center"/>
              <w:rPr>
                <w:rFonts w:ascii="宋体" w:eastAsia="宋体" w:hAnsi="宋体"/>
                <w:b/>
                <w:bCs/>
                <w:sz w:val="21"/>
                <w:szCs w:val="21"/>
              </w:rPr>
            </w:pPr>
            <w:r>
              <w:rPr>
                <w:rFonts w:ascii="宋体" w:eastAsia="宋体" w:hAnsi="宋体" w:hint="eastAsia"/>
                <w:b/>
                <w:bCs/>
                <w:sz w:val="21"/>
                <w:szCs w:val="21"/>
              </w:rPr>
              <w:t>环保设施运行效果和项目建设对环境的影响</w:t>
            </w:r>
          </w:p>
          <w:p w:rsidR="00164DC9" w:rsidRDefault="00164DC9">
            <w:pPr>
              <w:spacing w:after="0" w:line="280" w:lineRule="atLeast"/>
              <w:jc w:val="center"/>
              <w:rPr>
                <w:rFonts w:ascii="宋体" w:eastAsia="宋体" w:hAnsi="宋体"/>
                <w:b/>
                <w:bCs/>
                <w:sz w:val="21"/>
                <w:szCs w:val="21"/>
              </w:rPr>
            </w:pPr>
          </w:p>
        </w:tc>
        <w:tc>
          <w:tcPr>
            <w:tcW w:w="679" w:type="dxa"/>
            <w:tcBorders>
              <w:top w:val="single" w:sz="4" w:space="0" w:color="auto"/>
              <w:left w:val="nil"/>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21"/>
                <w:szCs w:val="21"/>
              </w:rPr>
            </w:pPr>
            <w:r>
              <w:rPr>
                <w:rFonts w:ascii="宋体" w:eastAsia="宋体" w:hAnsi="宋体" w:hint="eastAsia"/>
                <w:b/>
                <w:bCs/>
                <w:sz w:val="21"/>
                <w:szCs w:val="21"/>
              </w:rPr>
              <w:t>企业自主验收部分验收结论</w:t>
            </w:r>
          </w:p>
        </w:tc>
        <w:tc>
          <w:tcPr>
            <w:tcW w:w="1371" w:type="dxa"/>
            <w:tcBorders>
              <w:top w:val="single" w:sz="4" w:space="0" w:color="auto"/>
              <w:left w:val="nil"/>
              <w:bottom w:val="single" w:sz="4" w:space="0" w:color="auto"/>
              <w:right w:val="single" w:sz="4" w:space="0" w:color="auto"/>
            </w:tcBorders>
            <w:vAlign w:val="center"/>
            <w:hideMark/>
          </w:tcPr>
          <w:p w:rsidR="00164DC9" w:rsidRDefault="00164DC9">
            <w:pPr>
              <w:spacing w:after="0" w:line="280" w:lineRule="atLeast"/>
              <w:jc w:val="center"/>
              <w:rPr>
                <w:rFonts w:ascii="宋体" w:eastAsia="宋体" w:hAnsi="宋体"/>
                <w:b/>
                <w:bCs/>
                <w:sz w:val="21"/>
                <w:szCs w:val="21"/>
              </w:rPr>
            </w:pPr>
            <w:r>
              <w:rPr>
                <w:rFonts w:ascii="宋体" w:eastAsia="宋体" w:hAnsi="宋体" w:hint="eastAsia"/>
                <w:b/>
                <w:bCs/>
                <w:sz w:val="21"/>
                <w:szCs w:val="21"/>
              </w:rPr>
              <w:t>联系</w:t>
            </w:r>
          </w:p>
          <w:p w:rsidR="00164DC9" w:rsidRDefault="00164DC9">
            <w:pPr>
              <w:spacing w:after="0" w:line="280" w:lineRule="atLeast"/>
              <w:jc w:val="center"/>
              <w:rPr>
                <w:rFonts w:ascii="宋体" w:eastAsia="宋体" w:hAnsi="宋体"/>
                <w:b/>
                <w:bCs/>
                <w:sz w:val="16"/>
                <w:szCs w:val="16"/>
              </w:rPr>
            </w:pPr>
            <w:r>
              <w:rPr>
                <w:rFonts w:ascii="宋体" w:eastAsia="宋体" w:hAnsi="宋体" w:hint="eastAsia"/>
                <w:b/>
                <w:bCs/>
                <w:sz w:val="21"/>
                <w:szCs w:val="21"/>
              </w:rPr>
              <w:t>电话</w:t>
            </w:r>
          </w:p>
        </w:tc>
      </w:tr>
      <w:tr w:rsidR="00164DC9" w:rsidTr="00164DC9">
        <w:trPr>
          <w:trHeight w:val="50"/>
        </w:trPr>
        <w:tc>
          <w:tcPr>
            <w:tcW w:w="430" w:type="dxa"/>
            <w:tcBorders>
              <w:top w:val="single" w:sz="4" w:space="0" w:color="auto"/>
              <w:left w:val="single" w:sz="4" w:space="0" w:color="auto"/>
              <w:bottom w:val="single" w:sz="4" w:space="0" w:color="auto"/>
              <w:right w:val="single" w:sz="4" w:space="0" w:color="auto"/>
            </w:tcBorders>
            <w:hideMark/>
          </w:tcPr>
          <w:p w:rsidR="00164DC9" w:rsidRDefault="00164DC9">
            <w:pPr>
              <w:spacing w:after="0" w:line="360" w:lineRule="auto"/>
              <w:rPr>
                <w:rFonts w:ascii="仿宋" w:eastAsia="仿宋" w:hAnsi="仿宋" w:cs="宋体"/>
                <w:sz w:val="32"/>
                <w:szCs w:val="32"/>
              </w:rPr>
            </w:pPr>
            <w:r>
              <w:rPr>
                <w:rFonts w:ascii="仿宋" w:eastAsia="仿宋" w:hAnsi="仿宋" w:cs="宋体" w:hint="eastAsia"/>
                <w:sz w:val="32"/>
                <w:szCs w:val="32"/>
              </w:rPr>
              <w:t>1</w:t>
            </w:r>
          </w:p>
        </w:tc>
        <w:tc>
          <w:tcPr>
            <w:tcW w:w="604" w:type="dxa"/>
            <w:tcBorders>
              <w:top w:val="single" w:sz="4" w:space="0" w:color="auto"/>
              <w:left w:val="nil"/>
              <w:bottom w:val="single" w:sz="4" w:space="0" w:color="auto"/>
              <w:right w:val="single" w:sz="4" w:space="0" w:color="auto"/>
            </w:tcBorders>
            <w:hideMark/>
          </w:tcPr>
          <w:p w:rsidR="00164DC9" w:rsidRDefault="00164DC9">
            <w:pPr>
              <w:spacing w:after="0" w:line="280" w:lineRule="atLeast"/>
              <w:rPr>
                <w:rFonts w:ascii="宋体" w:eastAsia="宋体" w:hAnsi="宋体"/>
                <w:sz w:val="21"/>
                <w:szCs w:val="21"/>
              </w:rPr>
            </w:pPr>
            <w:r>
              <w:rPr>
                <w:rFonts w:ascii="宋体" w:eastAsia="宋体" w:hAnsi="宋体" w:hint="eastAsia"/>
                <w:sz w:val="21"/>
                <w:szCs w:val="21"/>
              </w:rPr>
              <w:t>扎尼河露天矿新建工程竣工环境保护验</w:t>
            </w:r>
            <w:r>
              <w:rPr>
                <w:rFonts w:ascii="宋体" w:eastAsia="宋体" w:hAnsi="宋体" w:hint="eastAsia"/>
                <w:sz w:val="21"/>
                <w:szCs w:val="21"/>
              </w:rPr>
              <w:lastRenderedPageBreak/>
              <w:t>收</w:t>
            </w:r>
          </w:p>
        </w:tc>
        <w:tc>
          <w:tcPr>
            <w:tcW w:w="628" w:type="dxa"/>
            <w:tcBorders>
              <w:top w:val="single" w:sz="4" w:space="0" w:color="auto"/>
              <w:left w:val="nil"/>
              <w:bottom w:val="single" w:sz="4" w:space="0" w:color="auto"/>
              <w:right w:val="single" w:sz="4" w:space="0" w:color="auto"/>
            </w:tcBorders>
            <w:hideMark/>
          </w:tcPr>
          <w:p w:rsidR="00164DC9" w:rsidRDefault="00164DC9">
            <w:pPr>
              <w:spacing w:after="0" w:line="280" w:lineRule="atLeast"/>
              <w:rPr>
                <w:rFonts w:ascii="宋体" w:eastAsia="宋体" w:hAnsi="宋体"/>
                <w:sz w:val="21"/>
                <w:szCs w:val="21"/>
              </w:rPr>
            </w:pPr>
            <w:r>
              <w:rPr>
                <w:rFonts w:ascii="宋体" w:eastAsia="宋体" w:hAnsi="宋体" w:hint="eastAsia"/>
                <w:sz w:val="21"/>
                <w:szCs w:val="21"/>
              </w:rPr>
              <w:lastRenderedPageBreak/>
              <w:t>内蒙古自治区呼伦贝尔市鄂温克旗</w:t>
            </w:r>
          </w:p>
        </w:tc>
        <w:tc>
          <w:tcPr>
            <w:tcW w:w="509" w:type="dxa"/>
            <w:tcBorders>
              <w:top w:val="single" w:sz="4" w:space="0" w:color="auto"/>
              <w:left w:val="nil"/>
              <w:bottom w:val="single" w:sz="4" w:space="0" w:color="auto"/>
              <w:right w:val="single" w:sz="4" w:space="0" w:color="auto"/>
            </w:tcBorders>
            <w:hideMark/>
          </w:tcPr>
          <w:p w:rsidR="00164DC9" w:rsidRDefault="00164DC9">
            <w:pPr>
              <w:spacing w:after="0" w:line="280" w:lineRule="atLeast"/>
              <w:rPr>
                <w:rFonts w:ascii="宋体" w:eastAsia="宋体" w:hAnsi="宋体"/>
                <w:sz w:val="21"/>
                <w:szCs w:val="21"/>
              </w:rPr>
            </w:pPr>
            <w:r>
              <w:rPr>
                <w:rFonts w:ascii="宋体" w:eastAsia="宋体" w:hAnsi="宋体" w:hint="eastAsia"/>
                <w:sz w:val="21"/>
                <w:szCs w:val="21"/>
              </w:rPr>
              <w:t>内蒙古大雁矿业集团有限责任公司</w:t>
            </w:r>
          </w:p>
        </w:tc>
        <w:tc>
          <w:tcPr>
            <w:tcW w:w="747" w:type="dxa"/>
            <w:tcBorders>
              <w:top w:val="single" w:sz="4" w:space="0" w:color="auto"/>
              <w:left w:val="nil"/>
              <w:bottom w:val="single" w:sz="4" w:space="0" w:color="auto"/>
              <w:right w:val="single" w:sz="4" w:space="0" w:color="auto"/>
            </w:tcBorders>
            <w:hideMark/>
          </w:tcPr>
          <w:p w:rsidR="00164DC9" w:rsidRDefault="00164DC9">
            <w:pPr>
              <w:spacing w:after="0" w:line="280" w:lineRule="atLeast"/>
              <w:rPr>
                <w:rFonts w:ascii="宋体" w:eastAsia="宋体" w:hAnsi="宋体"/>
                <w:sz w:val="21"/>
                <w:szCs w:val="21"/>
              </w:rPr>
            </w:pPr>
            <w:r>
              <w:rPr>
                <w:rFonts w:ascii="宋体" w:eastAsia="宋体" w:hAnsi="宋体" w:hint="eastAsia"/>
                <w:sz w:val="21"/>
                <w:szCs w:val="21"/>
              </w:rPr>
              <w:t>环保部发展研究中心</w:t>
            </w:r>
          </w:p>
        </w:tc>
        <w:tc>
          <w:tcPr>
            <w:tcW w:w="2580" w:type="dxa"/>
            <w:tcBorders>
              <w:top w:val="single" w:sz="4" w:space="0" w:color="auto"/>
              <w:left w:val="nil"/>
              <w:bottom w:val="single" w:sz="4" w:space="0" w:color="auto"/>
              <w:right w:val="single" w:sz="4" w:space="0" w:color="auto"/>
            </w:tcBorders>
            <w:hideMark/>
          </w:tcPr>
          <w:p w:rsidR="00164DC9" w:rsidRDefault="00164DC9">
            <w:pPr>
              <w:spacing w:after="0" w:line="280" w:lineRule="atLeast"/>
              <w:jc w:val="both"/>
              <w:rPr>
                <w:rFonts w:ascii="宋体" w:eastAsia="宋体" w:hAnsi="宋体"/>
                <w:sz w:val="21"/>
                <w:szCs w:val="21"/>
              </w:rPr>
            </w:pPr>
            <w:r>
              <w:rPr>
                <w:rFonts w:ascii="宋体" w:eastAsia="宋体" w:hAnsi="宋体" w:hint="eastAsia"/>
                <w:sz w:val="21"/>
                <w:szCs w:val="21"/>
              </w:rPr>
              <w:t>扎尼河露天矿（以下简称“工程”）属内蒙古自治区大雁矿区新建煤矿，位于内蒙古自治区呼伦贝尔市大兴安岭西麓海拉尔河中游。工程井田面积8.17平方公里，设计可采储量235.34兆吨，生产能力600万吨/年，服务年限33.42年。主要含煤地层为侏罗系中下统延安组，开采9煤层和10煤层。</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工程建设内容主要包括：露天采掘场、外排土场、工业场地、地面生产系统、铁路装车站与专用线等。</w:t>
            </w:r>
            <w:r>
              <w:rPr>
                <w:rFonts w:ascii="宋体" w:eastAsia="宋体" w:hAnsi="宋体" w:hint="eastAsia"/>
                <w:sz w:val="21"/>
                <w:szCs w:val="21"/>
              </w:rPr>
              <w:lastRenderedPageBreak/>
              <w:t>露天矿初始拉沟位置在矿田中东部301国道南侧，南北向拉沟，拉沟长度1800m。矿田划分为3个采区。设东南外排土场、西外排土场两个排土场，剥离采用“单斗—卡车”工艺；采煤采用“单斗-卡车+坑口半固定破碎站—胶带运输机系统”联合工艺，输煤系统设二次破碎和火车装车系统。</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露天矿目前已达到设计生产能力600万吨/年。工程环评阶段总投资18.3266亿元，环保投资7420万元，占总投资4.05％；工程实际总投资20.0961亿元，其中环保投资为7948.34万元，占工程总投资的3.96%。</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2009年1月，环境保护部以环审[2009]52号文批复《内蒙古大雁矿业集团公司扎尼河露天矿新建工程环境影响报告书》；2011年12月，国家发改革会以</w:t>
            </w:r>
            <w:r>
              <w:rPr>
                <w:rFonts w:ascii="宋体" w:eastAsia="宋体" w:hAnsi="宋体" w:hint="eastAsia"/>
                <w:sz w:val="21"/>
                <w:szCs w:val="21"/>
              </w:rPr>
              <w:lastRenderedPageBreak/>
              <w:t>发改能源[2011]3258号文《关于内蒙古大雁矿区扎尼河露天煤矿项目核准的批复》核准项目。2012年6月，内蒙古自治区煤炭工业局以内煤局字[2012]241号《关于内蒙古大雁矿业集团有限责任公司扎尼河露天煤矿初步设计的批复》批准设计。</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工程于2010年5月开工建设，2011年10月竣工。2012年10月内蒙古自治区环保厅以内环字[2012]179号同意项目试生产，2014年达到设计生产能力6Mt/a。2016年7月，鄂温克族自治旗环保局以鄂环罚字[2016]003号文对项目擅自投入生产予以处罚。</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新增西排土场环境影响报告表已由鄂温克族自治旗环境保护局以鄂环审表字【2016】第45号文予以批复。</w:t>
            </w:r>
          </w:p>
          <w:p w:rsidR="00164DC9" w:rsidRDefault="00164DC9">
            <w:pPr>
              <w:spacing w:after="0" w:line="280" w:lineRule="atLeast"/>
              <w:jc w:val="both"/>
              <w:rPr>
                <w:rFonts w:ascii="宋体" w:eastAsia="宋体" w:hAnsi="宋体"/>
                <w:sz w:val="21"/>
                <w:szCs w:val="21"/>
              </w:rPr>
            </w:pPr>
            <w:r>
              <w:rPr>
                <w:rFonts w:ascii="宋体" w:eastAsia="宋体" w:hAnsi="宋体" w:hint="eastAsia"/>
                <w:sz w:val="21"/>
                <w:szCs w:val="21"/>
              </w:rPr>
              <w:lastRenderedPageBreak/>
              <w:t>对工程重大变更编制了环境影响报告书，呼伦贝尔市环境保护局以呼环审【2017】 9号文予以批复。</w:t>
            </w:r>
          </w:p>
        </w:tc>
        <w:tc>
          <w:tcPr>
            <w:tcW w:w="2643" w:type="dxa"/>
            <w:tcBorders>
              <w:top w:val="single" w:sz="4" w:space="0" w:color="auto"/>
              <w:left w:val="nil"/>
              <w:bottom w:val="single" w:sz="4" w:space="0" w:color="auto"/>
              <w:right w:val="single" w:sz="4" w:space="0" w:color="auto"/>
            </w:tcBorders>
          </w:tcPr>
          <w:p w:rsidR="00164DC9" w:rsidRDefault="00164DC9">
            <w:pPr>
              <w:spacing w:after="0" w:line="280" w:lineRule="atLeast"/>
              <w:jc w:val="both"/>
              <w:rPr>
                <w:rFonts w:ascii="宋体" w:eastAsia="宋体" w:hAnsi="宋体"/>
                <w:sz w:val="21"/>
                <w:szCs w:val="21"/>
              </w:rPr>
            </w:pPr>
            <w:r>
              <w:rPr>
                <w:rFonts w:ascii="宋体" w:eastAsia="宋体" w:hAnsi="宋体" w:hint="eastAsia"/>
                <w:sz w:val="21"/>
                <w:szCs w:val="21"/>
              </w:rPr>
              <w:lastRenderedPageBreak/>
              <w:t xml:space="preserve">一、生态 </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环评批复要求： 工程设计中进一步优化外排土场占地面积及接替时序，应尽量控制施工临时占地，减少施工期地表扰动对草地、土壤的破坏，落实草地占用的补偿措施。</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根据调查报告，环评阶段设计的东、南外排土场合并，新增西外排土场，占地面积增加。在施工建设过程中严格控制占地，对露天采矿场、外排土场边坡采取工程、植物措施进行生态恢</w:t>
            </w:r>
            <w:r>
              <w:rPr>
                <w:rFonts w:ascii="宋体" w:eastAsia="宋体" w:hAnsi="宋体" w:hint="eastAsia"/>
                <w:sz w:val="21"/>
                <w:szCs w:val="21"/>
              </w:rPr>
              <w:lastRenderedPageBreak/>
              <w:t>复，减缓生态影响。建设单位针对西外排土场补充了环评手续，并通过申请国土部采矿用地改革试点方案解决新增临时用地问题。</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二、大气环境</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环评批复要求：采取有效措施控制粉尘污染，工业场地锅炉采用水浴除尘器，原煤、产品煤和输煤栈桥等采用全封闭结构储存、运输，风选车间封闭厂房并设置集尘罩、袋式除尘器等，定期对道路进行洒水，结合排土进度进行碾压、洒水并及时绿化。</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根据调查报告，实际工业场地锅炉房采用静电除尘器，除尘效率高于水浴除尘。原煤储存于穹顶仓，输煤栈桥等采用全封闭结构储存、运输。未建设风选车间。定期对道路进行洒水，结合排土进度进行碾压、洒水并及时绿化。</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lastRenderedPageBreak/>
              <w:t>三、环境管理与监测</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环评批复要求：初步设计阶段应进一步细化环境保护设施，在环保篇章中落实防治生态破坏和环境污染的各项措施及投资。开展环境工程监理工作，在施工招标文件、施工合同和工程监理招标文件中明确环保条款和责任，定期向当地环保部门提交工程环境监理报告。工程规模、生产工艺以及污染防治措施发生重大变更时，应按照法律法规的规定，重新履行相关审批手续。</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根据调查报告，初步设计阶段设置了环保篇章，落实了防治生态破坏和环境污染的措施及投资。委托呼伦贝尔市辉腾环境监理有限责任公司开展环境监理工作，并定期提交环境监理阶段性报告。</w:t>
            </w:r>
          </w:p>
          <w:p w:rsidR="00164DC9" w:rsidRDefault="00164DC9">
            <w:pPr>
              <w:spacing w:after="0" w:line="280" w:lineRule="atLeast"/>
              <w:rPr>
                <w:rFonts w:ascii="宋体" w:eastAsia="宋体" w:hAnsi="宋体"/>
                <w:sz w:val="21"/>
                <w:szCs w:val="21"/>
              </w:rPr>
            </w:pPr>
          </w:p>
        </w:tc>
        <w:tc>
          <w:tcPr>
            <w:tcW w:w="4639" w:type="dxa"/>
            <w:tcBorders>
              <w:top w:val="single" w:sz="4" w:space="0" w:color="auto"/>
              <w:left w:val="nil"/>
              <w:bottom w:val="single" w:sz="4" w:space="0" w:color="auto"/>
              <w:right w:val="single" w:sz="4" w:space="0" w:color="auto"/>
            </w:tcBorders>
          </w:tcPr>
          <w:p w:rsidR="00164DC9" w:rsidRDefault="00164DC9">
            <w:pPr>
              <w:spacing w:after="0" w:line="280" w:lineRule="atLeast"/>
              <w:rPr>
                <w:rFonts w:ascii="宋体" w:eastAsia="宋体" w:hAnsi="宋体"/>
                <w:sz w:val="21"/>
                <w:szCs w:val="21"/>
              </w:rPr>
            </w:pPr>
            <w:r>
              <w:rPr>
                <w:rFonts w:ascii="宋体" w:eastAsia="宋体" w:hAnsi="宋体" w:hint="eastAsia"/>
                <w:sz w:val="21"/>
                <w:szCs w:val="21"/>
              </w:rPr>
              <w:lastRenderedPageBreak/>
              <w:t>一、生态影响</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根据调查报告，建设期，采掘场、外排土场、工业场地、地面生产系统和地面运输系统剥离表土共146.76万m</w:t>
            </w:r>
            <w:r>
              <w:rPr>
                <w:rFonts w:ascii="宋体" w:eastAsia="宋体" w:hAnsi="宋体" w:hint="eastAsia"/>
                <w:sz w:val="21"/>
                <w:szCs w:val="21"/>
                <w:vertAlign w:val="superscript"/>
              </w:rPr>
              <w:t>3</w:t>
            </w:r>
            <w:r>
              <w:rPr>
                <w:rFonts w:ascii="宋体" w:eastAsia="宋体" w:hAnsi="宋体" w:hint="eastAsia"/>
                <w:sz w:val="21"/>
                <w:szCs w:val="21"/>
              </w:rPr>
              <w:t>，集中堆放在外排土场空地，共设堆土场2处，平均堆高20.0m，占地共7.89hm</w:t>
            </w:r>
            <w:r>
              <w:rPr>
                <w:rFonts w:ascii="宋体" w:eastAsia="宋体" w:hAnsi="宋体" w:hint="eastAsia"/>
                <w:sz w:val="21"/>
                <w:szCs w:val="21"/>
                <w:vertAlign w:val="superscript"/>
              </w:rPr>
              <w:t>2</w:t>
            </w:r>
            <w:r>
              <w:rPr>
                <w:rFonts w:ascii="宋体" w:eastAsia="宋体" w:hAnsi="宋体" w:hint="eastAsia"/>
                <w:sz w:val="21"/>
                <w:szCs w:val="21"/>
              </w:rPr>
              <w:t>。为了减少土壤流失，在2011年至2012年实施了种草及种植小麦，每公顷撒播披碱草 15kg、小麦100kg。</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后期随着采掘场剥离面积加大，以及西外排土场等启用，表土剥离数量增加，共设置了3处腐殖土集中堆存场，分别为工业场地与东南外排土场之间一处，表土堆存量约120万m</w:t>
            </w:r>
            <w:r>
              <w:rPr>
                <w:rFonts w:ascii="宋体" w:eastAsia="宋体" w:hAnsi="宋体" w:hint="eastAsia"/>
                <w:sz w:val="21"/>
                <w:szCs w:val="21"/>
                <w:vertAlign w:val="superscript"/>
              </w:rPr>
              <w:t>3</w:t>
            </w:r>
            <w:r>
              <w:rPr>
                <w:rFonts w:ascii="宋体" w:eastAsia="宋体" w:hAnsi="宋体" w:hint="eastAsia"/>
                <w:sz w:val="21"/>
                <w:szCs w:val="21"/>
              </w:rPr>
              <w:t>，露天采矿场以南与东南外排土场之间一处，表土堆存量约80万m</w:t>
            </w:r>
            <w:r>
              <w:rPr>
                <w:rFonts w:ascii="宋体" w:eastAsia="宋体" w:hAnsi="宋体" w:hint="eastAsia"/>
                <w:sz w:val="21"/>
                <w:szCs w:val="21"/>
                <w:vertAlign w:val="superscript"/>
              </w:rPr>
              <w:t>3</w:t>
            </w:r>
            <w:r>
              <w:rPr>
                <w:rFonts w:ascii="宋体" w:eastAsia="宋体" w:hAnsi="宋体" w:hint="eastAsia"/>
                <w:sz w:val="21"/>
                <w:szCs w:val="21"/>
              </w:rPr>
              <w:t>，此外，西外排土场以东一处（分三个堆体），堆存量约214万m</w:t>
            </w:r>
            <w:r>
              <w:rPr>
                <w:rFonts w:ascii="宋体" w:eastAsia="宋体" w:hAnsi="宋体" w:hint="eastAsia"/>
                <w:sz w:val="21"/>
                <w:szCs w:val="21"/>
                <w:vertAlign w:val="superscript"/>
              </w:rPr>
              <w:t>3</w:t>
            </w:r>
            <w:r>
              <w:rPr>
                <w:rFonts w:ascii="宋体" w:eastAsia="宋体" w:hAnsi="宋体" w:hint="eastAsia"/>
                <w:sz w:val="21"/>
                <w:szCs w:val="21"/>
              </w:rPr>
              <w:t>；堆存场堆高约10-15m。</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lastRenderedPageBreak/>
              <w:t>在整个工程建设过程中，扎尼河露天矿将水土保持工程纳入到招标投标中，责任落实到施工组织，并通过施工监理加强水土保持措施的实施。截至2013年7月完成水土保持综合治理面积109.47hm</w:t>
            </w:r>
            <w:r>
              <w:rPr>
                <w:rFonts w:ascii="宋体" w:eastAsia="宋体" w:hAnsi="宋体" w:hint="eastAsia"/>
                <w:sz w:val="21"/>
                <w:szCs w:val="21"/>
                <w:vertAlign w:val="superscript"/>
              </w:rPr>
              <w:t>2</w:t>
            </w:r>
            <w:r>
              <w:rPr>
                <w:rFonts w:ascii="宋体" w:eastAsia="宋体" w:hAnsi="宋体" w:hint="eastAsia"/>
                <w:sz w:val="21"/>
                <w:szCs w:val="21"/>
              </w:rPr>
              <w:t>，其中工程措施面积10.28hm</w:t>
            </w:r>
            <w:r>
              <w:rPr>
                <w:rFonts w:ascii="宋体" w:eastAsia="宋体" w:hAnsi="宋体" w:hint="eastAsia"/>
                <w:sz w:val="21"/>
                <w:szCs w:val="21"/>
                <w:vertAlign w:val="superscript"/>
              </w:rPr>
              <w:t>2</w:t>
            </w:r>
            <w:r>
              <w:rPr>
                <w:rFonts w:ascii="宋体" w:eastAsia="宋体" w:hAnsi="宋体" w:hint="eastAsia"/>
                <w:sz w:val="21"/>
                <w:szCs w:val="21"/>
              </w:rPr>
              <w:t>，植物措施面积99.19hm</w:t>
            </w:r>
            <w:r>
              <w:rPr>
                <w:rFonts w:ascii="宋体" w:eastAsia="宋体" w:hAnsi="宋体" w:hint="eastAsia"/>
                <w:sz w:val="21"/>
                <w:szCs w:val="21"/>
                <w:vertAlign w:val="superscript"/>
              </w:rPr>
              <w:t>2</w:t>
            </w:r>
            <w:r>
              <w:rPr>
                <w:rFonts w:ascii="宋体" w:eastAsia="宋体" w:hAnsi="宋体" w:hint="eastAsia"/>
                <w:sz w:val="21"/>
                <w:szCs w:val="21"/>
              </w:rPr>
              <w:t>；另植物已自然恢复面积40.39hm</w:t>
            </w:r>
            <w:r>
              <w:rPr>
                <w:rFonts w:ascii="宋体" w:eastAsia="宋体" w:hAnsi="宋体" w:hint="eastAsia"/>
                <w:sz w:val="21"/>
                <w:szCs w:val="21"/>
                <w:vertAlign w:val="superscript"/>
              </w:rPr>
              <w:t>2</w:t>
            </w:r>
            <w:r>
              <w:rPr>
                <w:rFonts w:ascii="宋体" w:eastAsia="宋体" w:hAnsi="宋体" w:hint="eastAsia"/>
                <w:sz w:val="21"/>
                <w:szCs w:val="21"/>
              </w:rPr>
              <w:t>，且覆盖率达到了60%以上。由于施工过程中严格控制，拦渣率达到了98.28%，弃土弃渣流失基本得到控制；对于工业场地、地面生产系统、地面运输系统、供排水管线较好地完成了边坡防护、绿化、造林及种草防护，使得工程建设区的扰动土地整治率达到99.92%，林草植被恢复指数达到99.67%。项目区大部分的植被生长较好，水土流失总治理度达到了98.49%。露天矿工程已通过水土保持竣工验收。</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2015年在北端帮地面位置观景台附近布置了2处人工位移监测点1B4-1和G1，根据监测数据2015年北端帮地面位置水平方向位移量为0.9m，沉降量为-0.36m，表现为北端帮边坡向采场位置移动。</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东外排土场660水平布置了2个GPS固定位移监测点BP1-1和BP2-5，BP1-1年度水平位移变形量为2.38m，沉降量为-0.62m；BP2-5年度水平位移变形量为28.1m，沉降量为-6.7m；边坡运移方向为外排土场整体向采场移动。</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二、大气环境影响</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lastRenderedPageBreak/>
              <w:t>根据调查报告，2016年10月监测报告表明本项目2台10t/a锅炉及2台6t/a锅炉烟气烟尘、二氧化硫监测结果均满足《锅炉大气污染物排放标准》（GB13271－2001）二类区Ⅱ时段标准，同时满足《锅炉大气污染物排放标准》（GB13271-2014）在用锅炉排放标准。</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采场、排土场无组织排放颗粒物监测结果满足《大气污染物综合排放标准》（GB16297-1996）中无组织排放监控浓度1.0mg/m</w:t>
            </w:r>
            <w:r>
              <w:rPr>
                <w:rFonts w:ascii="宋体" w:eastAsia="宋体" w:hAnsi="宋体" w:hint="eastAsia"/>
                <w:sz w:val="21"/>
                <w:szCs w:val="21"/>
                <w:vertAlign w:val="superscript"/>
              </w:rPr>
              <w:t>3</w:t>
            </w:r>
            <w:r>
              <w:rPr>
                <w:rFonts w:ascii="宋体" w:eastAsia="宋体" w:hAnsi="宋体" w:hint="eastAsia"/>
                <w:sz w:val="21"/>
                <w:szCs w:val="21"/>
              </w:rPr>
              <w:t>限值。</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采场周围十六号南屯村、大雁马场五队、奶牛新村SO</w:t>
            </w:r>
            <w:r>
              <w:rPr>
                <w:rFonts w:ascii="宋体" w:eastAsia="宋体" w:hAnsi="宋体" w:hint="eastAsia"/>
                <w:sz w:val="21"/>
                <w:szCs w:val="21"/>
                <w:vertAlign w:val="subscript"/>
              </w:rPr>
              <w:t>2</w:t>
            </w:r>
            <w:r>
              <w:rPr>
                <w:rFonts w:ascii="宋体" w:eastAsia="宋体" w:hAnsi="宋体" w:hint="eastAsia"/>
                <w:sz w:val="21"/>
                <w:szCs w:val="21"/>
              </w:rPr>
              <w:t>、NO</w:t>
            </w:r>
            <w:r>
              <w:rPr>
                <w:rFonts w:ascii="宋体" w:eastAsia="宋体" w:hAnsi="宋体" w:hint="eastAsia"/>
                <w:sz w:val="21"/>
                <w:szCs w:val="21"/>
                <w:vertAlign w:val="subscript"/>
              </w:rPr>
              <w:t>2</w:t>
            </w:r>
            <w:r>
              <w:rPr>
                <w:rFonts w:ascii="宋体" w:eastAsia="宋体" w:hAnsi="宋体" w:hint="eastAsia"/>
                <w:sz w:val="21"/>
                <w:szCs w:val="21"/>
              </w:rPr>
              <w:t>小时值及日均值均满足《环境空气质量标准》（GB3095-1996）中的二级标准，并且满足《环境空气质量标准》（GB3095-2012）中的二级校核标准。</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三、公众参与</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本次公众意见调查主要在工程的影响区域内进行，调查方式采用发放调查表的形式进行。在受访的72户居民中，69%的调查公众对工程的环境保护工作表示满意，29%的调查公众认为一般，有3%的调查公众（2人）表示不满意。扎尼河煤矿表示今后生产过程中加强管理，减缓开采的环境影响。</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t>四、环境风险防范与环境管理</w:t>
            </w:r>
          </w:p>
          <w:p w:rsidR="00164DC9" w:rsidRDefault="00164DC9">
            <w:pPr>
              <w:spacing w:after="0" w:line="280" w:lineRule="atLeast"/>
              <w:jc w:val="both"/>
              <w:rPr>
                <w:rFonts w:ascii="宋体" w:eastAsia="宋体" w:hAnsi="宋体" w:hint="eastAsia"/>
                <w:sz w:val="21"/>
                <w:szCs w:val="21"/>
              </w:rPr>
            </w:pPr>
            <w:r>
              <w:rPr>
                <w:rFonts w:ascii="宋体" w:eastAsia="宋体" w:hAnsi="宋体" w:hint="eastAsia"/>
                <w:sz w:val="21"/>
                <w:szCs w:val="21"/>
              </w:rPr>
              <w:lastRenderedPageBreak/>
              <w:t>根据调查报告，建设单位制定了《扎尼河露天矿危险废物管理制度》与《扎尼河露天矿环境应急预案》，并在鄂温克旗环境监察大队备案，备案编号：鄂环监字【2016】8号。企业成立了环境保护领导小组，在生产技术部设置环境保护办公室，制订了《扎尼河露天矿环境保护管理制度》，环境保护机构、制度与规程齐备。</w:t>
            </w:r>
          </w:p>
          <w:p w:rsidR="00164DC9" w:rsidRDefault="00164DC9">
            <w:pPr>
              <w:spacing w:after="0" w:line="360" w:lineRule="auto"/>
              <w:rPr>
                <w:rFonts w:ascii="仿宋" w:eastAsia="仿宋" w:hAnsi="仿宋" w:cs="宋体"/>
                <w:sz w:val="32"/>
                <w:szCs w:val="32"/>
              </w:rPr>
            </w:pPr>
          </w:p>
        </w:tc>
        <w:tc>
          <w:tcPr>
            <w:tcW w:w="679" w:type="dxa"/>
            <w:tcBorders>
              <w:top w:val="single" w:sz="4" w:space="0" w:color="auto"/>
              <w:left w:val="nil"/>
              <w:bottom w:val="single" w:sz="4" w:space="0" w:color="auto"/>
              <w:right w:val="single" w:sz="4" w:space="0" w:color="auto"/>
            </w:tcBorders>
            <w:hideMark/>
          </w:tcPr>
          <w:p w:rsidR="00164DC9" w:rsidRDefault="00164DC9">
            <w:pPr>
              <w:spacing w:after="0" w:line="280" w:lineRule="atLeast"/>
              <w:rPr>
                <w:rFonts w:ascii="宋体" w:eastAsia="宋体" w:hAnsi="宋体"/>
                <w:sz w:val="21"/>
                <w:szCs w:val="21"/>
              </w:rPr>
            </w:pPr>
            <w:r>
              <w:rPr>
                <w:rFonts w:ascii="宋体" w:eastAsia="宋体" w:hAnsi="宋体" w:hint="eastAsia"/>
                <w:sz w:val="21"/>
                <w:szCs w:val="21"/>
              </w:rPr>
              <w:lastRenderedPageBreak/>
              <w:t>企业自主验收部分基本符合条件。</w:t>
            </w:r>
          </w:p>
        </w:tc>
        <w:tc>
          <w:tcPr>
            <w:tcW w:w="1371" w:type="dxa"/>
            <w:tcBorders>
              <w:top w:val="single" w:sz="4" w:space="0" w:color="auto"/>
              <w:left w:val="nil"/>
              <w:bottom w:val="single" w:sz="4" w:space="0" w:color="auto"/>
              <w:right w:val="single" w:sz="4" w:space="0" w:color="auto"/>
            </w:tcBorders>
            <w:hideMark/>
          </w:tcPr>
          <w:p w:rsidR="00164DC9" w:rsidRDefault="00164DC9">
            <w:pPr>
              <w:spacing w:after="0" w:line="280" w:lineRule="atLeast"/>
              <w:jc w:val="both"/>
              <w:rPr>
                <w:rFonts w:ascii="宋体" w:eastAsia="宋体" w:hAnsi="宋体"/>
                <w:sz w:val="21"/>
                <w:szCs w:val="21"/>
              </w:rPr>
            </w:pPr>
            <w:r>
              <w:rPr>
                <w:rFonts w:ascii="宋体" w:eastAsia="宋体" w:hAnsi="宋体" w:hint="eastAsia"/>
                <w:sz w:val="21"/>
                <w:szCs w:val="21"/>
              </w:rPr>
              <w:t>13948081747</w:t>
            </w:r>
          </w:p>
        </w:tc>
      </w:tr>
    </w:tbl>
    <w:p w:rsidR="00164DC9" w:rsidRDefault="00164DC9" w:rsidP="00164DC9">
      <w:pPr>
        <w:rPr>
          <w:rFonts w:hint="eastAsia"/>
        </w:rPr>
      </w:pPr>
      <w:r>
        <w:lastRenderedPageBreak/>
        <w:t xml:space="preserve"> </w:t>
      </w:r>
    </w:p>
    <w:p w:rsidR="00085DF3" w:rsidRDefault="00164DC9" w:rsidP="00164DC9"/>
    <w:sectPr w:rsidR="00085DF3" w:rsidSect="00164DC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4DC9"/>
    <w:rsid w:val="00054127"/>
    <w:rsid w:val="000D64E9"/>
    <w:rsid w:val="00164DC9"/>
    <w:rsid w:val="00EA14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C9"/>
    <w:pPr>
      <w:adjustRightInd w:val="0"/>
      <w:snapToGrid w:val="0"/>
      <w:spacing w:before="100" w:beforeAutospacing="1"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64DC9"/>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0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wangjianying</dc:creator>
  <cp:lastModifiedBy>wangjianying</cp:lastModifiedBy>
  <cp:revision>2</cp:revision>
  <dcterms:created xsi:type="dcterms:W3CDTF">2017-12-11T04:13:00Z</dcterms:created>
  <dcterms:modified xsi:type="dcterms:W3CDTF">2017-12-11T04:13:00Z</dcterms:modified>
</cp:coreProperties>
</file>